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52" w:rsidRDefault="00C77352" w:rsidP="00C77352">
      <w:pPr>
        <w:spacing w:line="500" w:lineRule="exact"/>
        <w:jc w:val="center"/>
        <w:rPr>
          <w:rFonts w:ascii="宋体" w:hAnsi="宋体"/>
          <w:bCs/>
          <w:sz w:val="24"/>
        </w:rPr>
      </w:pPr>
      <w:r>
        <w:rPr>
          <w:rFonts w:ascii="黑体" w:eastAsia="黑体" w:hAnsi="宋体" w:hint="eastAsia"/>
          <w:bCs/>
          <w:sz w:val="36"/>
        </w:rPr>
        <w:t>国际贸易专题（一）</w:t>
      </w:r>
      <w:r w:rsidRPr="00C97494">
        <w:rPr>
          <w:rFonts w:ascii="黑体" w:eastAsia="黑体" w:hAnsi="宋体" w:hint="eastAsia"/>
          <w:bCs/>
          <w:sz w:val="36"/>
        </w:rPr>
        <w:t>课程教学大纲</w:t>
      </w:r>
    </w:p>
    <w:p w:rsidR="00C77352" w:rsidRDefault="00C77352" w:rsidP="00C77352">
      <w:pPr>
        <w:spacing w:line="500" w:lineRule="exact"/>
        <w:jc w:val="center"/>
        <w:rPr>
          <w:rFonts w:ascii="宋体" w:hAnsi="宋体"/>
          <w:b/>
          <w:bCs/>
          <w:sz w:val="36"/>
        </w:rPr>
      </w:pPr>
    </w:p>
    <w:p w:rsidR="00C77352" w:rsidRPr="000D53CA" w:rsidRDefault="00C77352" w:rsidP="00C77352">
      <w:pPr>
        <w:spacing w:line="500" w:lineRule="exact"/>
        <w:rPr>
          <w:rFonts w:ascii="黑体" w:eastAsia="黑体" w:hAnsi="宋体"/>
          <w:bCs/>
          <w:sz w:val="24"/>
        </w:rPr>
      </w:pPr>
      <w:r w:rsidRPr="000D53CA">
        <w:rPr>
          <w:rFonts w:ascii="黑体" w:eastAsia="黑体" w:hAnsi="宋体" w:hint="eastAsia"/>
          <w:bCs/>
          <w:sz w:val="24"/>
        </w:rPr>
        <w:t>一、课程基本信息</w:t>
      </w:r>
    </w:p>
    <w:p w:rsidR="00C77352" w:rsidRPr="001B2657" w:rsidRDefault="00C77352" w:rsidP="00C77352">
      <w:pPr>
        <w:spacing w:line="500" w:lineRule="exact"/>
        <w:ind w:firstLine="420"/>
        <w:rPr>
          <w:rFonts w:ascii="宋体" w:hAnsi="宋体"/>
          <w:bCs/>
          <w:szCs w:val="21"/>
        </w:rPr>
      </w:pPr>
      <w:r w:rsidRPr="000D53CA">
        <w:rPr>
          <w:rFonts w:ascii="黑体" w:eastAsia="黑体" w:hAnsi="宋体" w:hint="eastAsia"/>
          <w:bCs/>
          <w:szCs w:val="21"/>
        </w:rPr>
        <w:t>课程编号</w:t>
      </w:r>
      <w:r w:rsidRPr="001B2657">
        <w:rPr>
          <w:rFonts w:ascii="宋体" w:hAnsi="宋体" w:hint="eastAsia"/>
          <w:bCs/>
          <w:szCs w:val="21"/>
        </w:rPr>
        <w:t>：</w:t>
      </w:r>
      <w:r>
        <w:rPr>
          <w:rFonts w:ascii="宋体" w:hAnsi="宋体" w:hint="eastAsia"/>
          <w:bCs/>
          <w:szCs w:val="21"/>
        </w:rPr>
        <w:t>201409116</w:t>
      </w:r>
    </w:p>
    <w:p w:rsidR="00C77352" w:rsidRPr="001B2657" w:rsidRDefault="00C77352" w:rsidP="00C77352">
      <w:pPr>
        <w:spacing w:line="500" w:lineRule="exact"/>
        <w:ind w:firstLine="420"/>
        <w:rPr>
          <w:rFonts w:ascii="宋体" w:hAnsi="宋体"/>
          <w:bCs/>
          <w:szCs w:val="21"/>
        </w:rPr>
      </w:pPr>
      <w:r w:rsidRPr="000D53CA">
        <w:rPr>
          <w:rFonts w:ascii="黑体" w:eastAsia="黑体" w:hint="eastAsia"/>
          <w:bCs/>
          <w:szCs w:val="21"/>
        </w:rPr>
        <w:t>课程中文名称</w:t>
      </w:r>
      <w:r w:rsidRPr="001B2657">
        <w:rPr>
          <w:rFonts w:ascii="宋体" w:hAnsi="宋体" w:hint="eastAsia"/>
          <w:bCs/>
          <w:szCs w:val="21"/>
        </w:rPr>
        <w:t>：</w:t>
      </w:r>
      <w:r>
        <w:rPr>
          <w:rFonts w:ascii="宋体" w:hAnsi="宋体" w:hint="eastAsia"/>
          <w:bCs/>
          <w:szCs w:val="21"/>
        </w:rPr>
        <w:t>国际贸易专题（一）</w:t>
      </w:r>
    </w:p>
    <w:p w:rsidR="00C77352" w:rsidRPr="001B2657" w:rsidRDefault="00C77352" w:rsidP="00C77352">
      <w:pPr>
        <w:spacing w:line="500" w:lineRule="exact"/>
        <w:ind w:firstLine="420"/>
        <w:rPr>
          <w:rFonts w:ascii="宋体" w:hAnsi="宋体"/>
          <w:bCs/>
          <w:szCs w:val="21"/>
        </w:rPr>
      </w:pPr>
      <w:r w:rsidRPr="000D53CA">
        <w:rPr>
          <w:rFonts w:ascii="黑体" w:eastAsia="黑体" w:hint="eastAsia"/>
          <w:bCs/>
          <w:szCs w:val="21"/>
        </w:rPr>
        <w:t>课程英文名称</w:t>
      </w:r>
      <w:r w:rsidRPr="001B2657">
        <w:rPr>
          <w:rFonts w:ascii="宋体" w:hAnsi="宋体" w:hint="eastAsia"/>
          <w:bCs/>
          <w:szCs w:val="21"/>
        </w:rPr>
        <w:t>：</w:t>
      </w:r>
      <w:r>
        <w:rPr>
          <w:rFonts w:ascii="宋体" w:hAnsi="宋体" w:hint="eastAsia"/>
          <w:bCs/>
          <w:szCs w:val="21"/>
        </w:rPr>
        <w:t>International trade topics</w:t>
      </w:r>
    </w:p>
    <w:p w:rsidR="00C77352" w:rsidRPr="001B2657" w:rsidRDefault="00C77352" w:rsidP="00C77352">
      <w:pPr>
        <w:spacing w:line="500" w:lineRule="exact"/>
        <w:ind w:firstLine="420"/>
        <w:rPr>
          <w:rFonts w:ascii="宋体" w:hAnsi="宋体"/>
          <w:bCs/>
          <w:szCs w:val="21"/>
        </w:rPr>
      </w:pPr>
      <w:r w:rsidRPr="000D53CA">
        <w:rPr>
          <w:rFonts w:ascii="黑体" w:eastAsia="黑体" w:hint="eastAsia"/>
          <w:bCs/>
          <w:szCs w:val="21"/>
        </w:rPr>
        <w:t>课程性质</w:t>
      </w:r>
      <w:r w:rsidRPr="001B2657">
        <w:rPr>
          <w:rFonts w:ascii="宋体" w:hAnsi="宋体" w:hint="eastAsia"/>
          <w:bCs/>
          <w:szCs w:val="21"/>
        </w:rPr>
        <w:t>：</w:t>
      </w:r>
      <w:r>
        <w:rPr>
          <w:rFonts w:ascii="宋体" w:hAnsi="宋体" w:hint="eastAsia"/>
          <w:bCs/>
          <w:szCs w:val="21"/>
        </w:rPr>
        <w:t>专业核心课程</w:t>
      </w:r>
    </w:p>
    <w:p w:rsidR="00C77352" w:rsidRPr="001B2657" w:rsidRDefault="00C77352" w:rsidP="00C77352">
      <w:pPr>
        <w:spacing w:line="500" w:lineRule="exact"/>
        <w:ind w:firstLine="420"/>
        <w:rPr>
          <w:rFonts w:ascii="宋体" w:hAnsi="宋体"/>
          <w:bCs/>
          <w:szCs w:val="21"/>
        </w:rPr>
      </w:pPr>
      <w:r w:rsidRPr="000D53CA">
        <w:rPr>
          <w:rFonts w:ascii="黑体" w:eastAsia="黑体" w:hint="eastAsia"/>
          <w:bCs/>
          <w:szCs w:val="21"/>
        </w:rPr>
        <w:t>开课专业</w:t>
      </w:r>
      <w:r w:rsidRPr="001B2657">
        <w:rPr>
          <w:rFonts w:ascii="宋体" w:hAnsi="宋体" w:hint="eastAsia"/>
          <w:bCs/>
          <w:szCs w:val="21"/>
        </w:rPr>
        <w:t>：</w:t>
      </w:r>
      <w:r>
        <w:rPr>
          <w:rFonts w:ascii="宋体" w:hAnsi="宋体" w:hint="eastAsia"/>
          <w:bCs/>
          <w:szCs w:val="21"/>
        </w:rPr>
        <w:t>国际经济与贸易</w:t>
      </w:r>
    </w:p>
    <w:p w:rsidR="00C77352" w:rsidRPr="001B2657" w:rsidRDefault="00C77352" w:rsidP="00C77352">
      <w:pPr>
        <w:spacing w:line="500" w:lineRule="exact"/>
        <w:ind w:firstLine="420"/>
        <w:rPr>
          <w:rFonts w:ascii="宋体" w:hAnsi="宋体"/>
          <w:bCs/>
          <w:szCs w:val="21"/>
        </w:rPr>
      </w:pPr>
      <w:r>
        <w:rPr>
          <w:rFonts w:ascii="黑体" w:eastAsia="黑体" w:hint="eastAsia"/>
          <w:bCs/>
          <w:szCs w:val="21"/>
        </w:rPr>
        <w:t>开课学期</w:t>
      </w:r>
      <w:r w:rsidRPr="001B2657">
        <w:rPr>
          <w:rFonts w:ascii="宋体" w:hAnsi="宋体" w:hint="eastAsia"/>
          <w:bCs/>
          <w:szCs w:val="21"/>
        </w:rPr>
        <w:t>：</w:t>
      </w:r>
      <w:r>
        <w:rPr>
          <w:rFonts w:ascii="宋体" w:hAnsi="宋体" w:hint="eastAsia"/>
          <w:bCs/>
          <w:szCs w:val="21"/>
        </w:rPr>
        <w:t>6</w:t>
      </w:r>
    </w:p>
    <w:p w:rsidR="00C77352" w:rsidRPr="001B2657" w:rsidRDefault="00C77352" w:rsidP="00C77352">
      <w:pPr>
        <w:spacing w:line="500" w:lineRule="exact"/>
        <w:ind w:firstLine="420"/>
        <w:rPr>
          <w:rFonts w:ascii="宋体" w:hAnsi="宋体"/>
          <w:bCs/>
          <w:szCs w:val="21"/>
        </w:rPr>
      </w:pPr>
      <w:r w:rsidRPr="000D53CA">
        <w:rPr>
          <w:rFonts w:ascii="黑体" w:eastAsia="黑体" w:hint="eastAsia"/>
          <w:bCs/>
          <w:szCs w:val="21"/>
        </w:rPr>
        <w:t>总学时</w:t>
      </w:r>
      <w:r w:rsidRPr="001B2657">
        <w:rPr>
          <w:rFonts w:ascii="宋体" w:hAnsi="宋体" w:hint="eastAsia"/>
          <w:bCs/>
          <w:szCs w:val="21"/>
        </w:rPr>
        <w:t>：</w:t>
      </w:r>
      <w:r>
        <w:rPr>
          <w:rFonts w:ascii="宋体" w:hAnsi="宋体" w:hint="eastAsia"/>
          <w:bCs/>
          <w:szCs w:val="21"/>
        </w:rPr>
        <w:t>16</w:t>
      </w:r>
      <w:r w:rsidRPr="001B2657">
        <w:rPr>
          <w:rFonts w:ascii="宋体" w:hAnsi="宋体" w:hint="eastAsia"/>
          <w:bCs/>
          <w:szCs w:val="21"/>
        </w:rPr>
        <w:t>（其中理论</w:t>
      </w:r>
      <w:r>
        <w:rPr>
          <w:rFonts w:ascii="宋体" w:hAnsi="宋体" w:hint="eastAsia"/>
          <w:bCs/>
          <w:szCs w:val="21"/>
        </w:rPr>
        <w:t>16</w:t>
      </w:r>
      <w:r w:rsidRPr="001B2657">
        <w:rPr>
          <w:rFonts w:ascii="宋体" w:hAnsi="宋体" w:hint="eastAsia"/>
          <w:bCs/>
          <w:szCs w:val="21"/>
        </w:rPr>
        <w:t>学时）</w:t>
      </w:r>
    </w:p>
    <w:p w:rsidR="00C77352" w:rsidRPr="002E344F" w:rsidRDefault="00C77352" w:rsidP="00C77352">
      <w:pPr>
        <w:spacing w:line="500" w:lineRule="exact"/>
        <w:ind w:firstLine="420"/>
        <w:rPr>
          <w:rFonts w:ascii="宋体" w:hAnsi="宋体"/>
          <w:bCs/>
          <w:szCs w:val="21"/>
        </w:rPr>
      </w:pPr>
      <w:r w:rsidRPr="000D53CA">
        <w:rPr>
          <w:rFonts w:ascii="黑体" w:eastAsia="黑体" w:hint="eastAsia"/>
          <w:bCs/>
          <w:szCs w:val="21"/>
        </w:rPr>
        <w:t>总学分</w:t>
      </w:r>
      <w:r w:rsidRPr="001B2657">
        <w:rPr>
          <w:rFonts w:ascii="宋体" w:hAnsi="宋体" w:hint="eastAsia"/>
          <w:bCs/>
          <w:szCs w:val="21"/>
        </w:rPr>
        <w:t>：</w:t>
      </w:r>
      <w:r>
        <w:rPr>
          <w:rFonts w:ascii="宋体" w:hAnsi="宋体" w:hint="eastAsia"/>
          <w:bCs/>
          <w:szCs w:val="21"/>
        </w:rPr>
        <w:t>1</w:t>
      </w:r>
    </w:p>
    <w:p w:rsidR="00C77352" w:rsidRPr="004B2CF1" w:rsidRDefault="00C77352" w:rsidP="00C77352">
      <w:pPr>
        <w:spacing w:line="500" w:lineRule="exact"/>
        <w:rPr>
          <w:rFonts w:ascii="宋体" w:hAnsi="宋体"/>
          <w:bCs/>
          <w:sz w:val="24"/>
        </w:rPr>
      </w:pPr>
      <w:r w:rsidRPr="000D53CA">
        <w:rPr>
          <w:rFonts w:ascii="黑体" w:eastAsia="黑体" w:hAnsi="宋体" w:hint="eastAsia"/>
          <w:bCs/>
          <w:sz w:val="24"/>
        </w:rPr>
        <w:t>二、</w:t>
      </w:r>
      <w:r w:rsidRPr="004B2CF1">
        <w:rPr>
          <w:rFonts w:ascii="黑体" w:eastAsia="黑体" w:hAnsi="宋体" w:hint="eastAsia"/>
          <w:bCs/>
          <w:sz w:val="24"/>
        </w:rPr>
        <w:t>课程目标</w:t>
      </w:r>
    </w:p>
    <w:p w:rsidR="00C77352" w:rsidRPr="00C77352" w:rsidRDefault="00C77352" w:rsidP="00C77352">
      <w:pPr>
        <w:spacing w:line="500" w:lineRule="exact"/>
        <w:ind w:firstLineChars="200" w:firstLine="420"/>
        <w:rPr>
          <w:rFonts w:ascii="宋体" w:hAnsi="宋体"/>
          <w:bCs/>
          <w:sz w:val="24"/>
        </w:rPr>
      </w:pPr>
      <w:r w:rsidRPr="00C77352">
        <w:rPr>
          <w:rFonts w:hint="eastAsia"/>
          <w:szCs w:val="21"/>
        </w:rPr>
        <w:t>此课程是为国际经济与贸易专业本科生开设的核心专业课程。课程根据世界经济现状，精选国际贸易领域的热点问题，进行系统和全面的多角度分析，帮助学生将国际贸易理论与实践紧密结合基础上，深入理解和认识国际贸易格局与国际经贸关系。作为国际贸易专题的第一部，该课程主要介绍国际贸易地理以及进出口报关与商检的主要内容。</w:t>
      </w:r>
    </w:p>
    <w:p w:rsidR="00C77352" w:rsidRPr="004B2CF1" w:rsidRDefault="00C77352" w:rsidP="00C77352">
      <w:pPr>
        <w:spacing w:line="500" w:lineRule="exact"/>
        <w:rPr>
          <w:rFonts w:ascii="黑体" w:eastAsia="黑体" w:hAnsi="宋体"/>
          <w:bCs/>
          <w:sz w:val="24"/>
        </w:rPr>
      </w:pPr>
      <w:r w:rsidRPr="004B2CF1">
        <w:rPr>
          <w:rFonts w:ascii="黑体" w:eastAsia="黑体" w:hAnsi="宋体" w:hint="eastAsia"/>
          <w:bCs/>
          <w:sz w:val="24"/>
        </w:rPr>
        <w:t>三、教学基本要求（</w:t>
      </w:r>
      <w:proofErr w:type="gramStart"/>
      <w:r w:rsidRPr="004B2CF1">
        <w:rPr>
          <w:rFonts w:ascii="黑体" w:eastAsia="黑体" w:hAnsi="宋体" w:hint="eastAsia"/>
          <w:bCs/>
          <w:sz w:val="24"/>
        </w:rPr>
        <w:t>含素质</w:t>
      </w:r>
      <w:proofErr w:type="gramEnd"/>
      <w:r w:rsidRPr="004B2CF1">
        <w:rPr>
          <w:rFonts w:ascii="黑体" w:eastAsia="黑体" w:hAnsi="宋体" w:hint="eastAsia"/>
          <w:bCs/>
          <w:sz w:val="24"/>
        </w:rPr>
        <w:t>教育与创新能力培养的要求）</w:t>
      </w:r>
      <w:r w:rsidRPr="004B2CF1">
        <w:rPr>
          <w:rFonts w:ascii="宋体" w:hAnsi="宋体" w:hint="eastAsia"/>
          <w:bCs/>
          <w:sz w:val="24"/>
        </w:rPr>
        <w:t xml:space="preserve"> </w:t>
      </w:r>
    </w:p>
    <w:p w:rsidR="004B6E55" w:rsidRPr="004B6E55" w:rsidRDefault="004B6E55" w:rsidP="004B6E55">
      <w:pPr>
        <w:numPr>
          <w:ilvl w:val="0"/>
          <w:numId w:val="2"/>
        </w:numPr>
        <w:spacing w:line="500" w:lineRule="exact"/>
        <w:rPr>
          <w:bCs/>
        </w:rPr>
      </w:pPr>
      <w:r w:rsidRPr="004B6E55">
        <w:rPr>
          <w:rFonts w:hint="eastAsia"/>
          <w:bCs/>
        </w:rPr>
        <w:t>系统掌握国际贸易商检和报关实务的基本原理、基本知识和基本技能。</w:t>
      </w:r>
    </w:p>
    <w:p w:rsidR="004B6E55" w:rsidRDefault="00C77352" w:rsidP="004B6E55">
      <w:pPr>
        <w:numPr>
          <w:ilvl w:val="0"/>
          <w:numId w:val="2"/>
        </w:numPr>
        <w:spacing w:line="500" w:lineRule="exact"/>
        <w:rPr>
          <w:bCs/>
        </w:rPr>
      </w:pPr>
      <w:r>
        <w:rPr>
          <w:rFonts w:hint="eastAsia"/>
          <w:bCs/>
        </w:rPr>
        <w:t>深入了解</w:t>
      </w:r>
      <w:r w:rsidR="00460B0C" w:rsidRPr="00C77352">
        <w:rPr>
          <w:rFonts w:hint="eastAsia"/>
          <w:bCs/>
        </w:rPr>
        <w:t>各地区商品生产的地域分工和交换的地理分布与地理格局的特征及其发展变化规律</w:t>
      </w:r>
      <w:r>
        <w:rPr>
          <w:rFonts w:hint="eastAsia"/>
          <w:bCs/>
        </w:rPr>
        <w:t>，认识</w:t>
      </w:r>
      <w:r w:rsidRPr="00C77352">
        <w:rPr>
          <w:rFonts w:hint="eastAsia"/>
          <w:bCs/>
        </w:rPr>
        <w:t>贸易活动与地理环境的关系以及商品流通的规律和特点</w:t>
      </w:r>
      <w:r w:rsidR="004B6E55">
        <w:rPr>
          <w:rFonts w:hint="eastAsia"/>
          <w:bCs/>
        </w:rPr>
        <w:t>。</w:t>
      </w:r>
    </w:p>
    <w:p w:rsidR="00C77352" w:rsidRPr="00336C19" w:rsidRDefault="00C77352" w:rsidP="00C77352">
      <w:pPr>
        <w:spacing w:line="500" w:lineRule="exact"/>
        <w:rPr>
          <w:rFonts w:ascii="黑体" w:eastAsia="黑体" w:hAnsi="宋体"/>
          <w:bCs/>
          <w:sz w:val="24"/>
        </w:rPr>
      </w:pPr>
      <w:r w:rsidRPr="00336C19">
        <w:rPr>
          <w:rFonts w:ascii="黑体" w:eastAsia="黑体" w:hAnsi="宋体" w:hint="eastAsia"/>
          <w:bCs/>
          <w:sz w:val="24"/>
        </w:rPr>
        <w:t>四、教学内容与学时分配</w:t>
      </w:r>
    </w:p>
    <w:p w:rsidR="00C77352" w:rsidRDefault="00C77352" w:rsidP="00C77352">
      <w:pPr>
        <w:spacing w:line="500" w:lineRule="exact"/>
        <w:ind w:firstLine="435"/>
        <w:rPr>
          <w:rFonts w:ascii="宋体" w:hAnsi="宋体"/>
          <w:bCs/>
          <w:szCs w:val="21"/>
        </w:rPr>
      </w:pPr>
      <w:r>
        <w:rPr>
          <w:rFonts w:ascii="宋体" w:hAnsi="宋体" w:hint="eastAsia"/>
          <w:bCs/>
          <w:szCs w:val="21"/>
        </w:rPr>
        <w:t xml:space="preserve">1 </w:t>
      </w:r>
      <w:r w:rsidR="004B6E55">
        <w:rPr>
          <w:rFonts w:ascii="宋体" w:hAnsi="宋体" w:hint="eastAsia"/>
          <w:bCs/>
          <w:szCs w:val="21"/>
        </w:rPr>
        <w:t>报关的基本知识与操作实务</w:t>
      </w:r>
      <w:r w:rsidRPr="0040695C">
        <w:rPr>
          <w:rFonts w:ascii="宋体" w:hAnsi="宋体" w:hint="eastAsia"/>
          <w:bCs/>
          <w:szCs w:val="21"/>
        </w:rPr>
        <w:t>（</w:t>
      </w:r>
      <w:r w:rsidR="004B6E55">
        <w:rPr>
          <w:rFonts w:ascii="宋体" w:hAnsi="宋体" w:hint="eastAsia"/>
          <w:bCs/>
          <w:szCs w:val="21"/>
        </w:rPr>
        <w:t>4</w:t>
      </w:r>
      <w:r w:rsidRPr="0040695C">
        <w:rPr>
          <w:rFonts w:ascii="宋体" w:hAnsi="宋体" w:hint="eastAsia"/>
          <w:bCs/>
          <w:szCs w:val="21"/>
        </w:rPr>
        <w:t>学时）</w:t>
      </w:r>
    </w:p>
    <w:p w:rsidR="00C77352" w:rsidRDefault="00C77352" w:rsidP="00C77352">
      <w:pPr>
        <w:spacing w:line="500" w:lineRule="exact"/>
        <w:ind w:firstLine="435"/>
        <w:rPr>
          <w:rFonts w:ascii="宋体" w:hAnsi="宋体"/>
          <w:bCs/>
          <w:szCs w:val="21"/>
        </w:rPr>
      </w:pPr>
      <w:r>
        <w:rPr>
          <w:rFonts w:ascii="宋体" w:hAnsi="宋体" w:hint="eastAsia"/>
          <w:bCs/>
          <w:szCs w:val="21"/>
        </w:rPr>
        <w:t xml:space="preserve">2 </w:t>
      </w:r>
      <w:r w:rsidR="004B6E55">
        <w:rPr>
          <w:rFonts w:ascii="宋体" w:hAnsi="宋体" w:hint="eastAsia"/>
          <w:bCs/>
          <w:szCs w:val="21"/>
        </w:rPr>
        <w:t>商检的基本知识与报检实务</w:t>
      </w:r>
      <w:r>
        <w:rPr>
          <w:rFonts w:ascii="宋体" w:hAnsi="宋体" w:hint="eastAsia"/>
          <w:bCs/>
          <w:szCs w:val="21"/>
        </w:rPr>
        <w:t>（</w:t>
      </w:r>
      <w:r w:rsidR="004B6E55">
        <w:rPr>
          <w:rFonts w:ascii="宋体" w:hAnsi="宋体" w:hint="eastAsia"/>
          <w:bCs/>
          <w:szCs w:val="21"/>
        </w:rPr>
        <w:t>4</w:t>
      </w:r>
      <w:r>
        <w:rPr>
          <w:rFonts w:ascii="宋体" w:hAnsi="宋体" w:hint="eastAsia"/>
          <w:bCs/>
          <w:szCs w:val="21"/>
        </w:rPr>
        <w:t>学时）</w:t>
      </w:r>
    </w:p>
    <w:p w:rsidR="00C77352" w:rsidRDefault="00C77352" w:rsidP="00C77352">
      <w:pPr>
        <w:spacing w:line="500" w:lineRule="exact"/>
        <w:ind w:firstLine="435"/>
        <w:rPr>
          <w:rFonts w:ascii="宋体" w:hAnsi="宋体"/>
          <w:bCs/>
          <w:szCs w:val="21"/>
        </w:rPr>
      </w:pPr>
      <w:r>
        <w:rPr>
          <w:rFonts w:ascii="宋体" w:hAnsi="宋体" w:hint="eastAsia"/>
          <w:bCs/>
          <w:szCs w:val="21"/>
        </w:rPr>
        <w:t xml:space="preserve">3 </w:t>
      </w:r>
      <w:r w:rsidR="004B6E55">
        <w:rPr>
          <w:rFonts w:ascii="宋体" w:hAnsi="宋体" w:hint="eastAsia"/>
          <w:bCs/>
          <w:szCs w:val="21"/>
        </w:rPr>
        <w:t>国际贸易地理的基础理论与实践</w:t>
      </w:r>
      <w:r>
        <w:rPr>
          <w:rFonts w:ascii="宋体" w:hAnsi="宋体" w:hint="eastAsia"/>
          <w:bCs/>
          <w:szCs w:val="21"/>
        </w:rPr>
        <w:t>（</w:t>
      </w:r>
      <w:r w:rsidR="004B6E55">
        <w:rPr>
          <w:rFonts w:ascii="宋体" w:hAnsi="宋体" w:hint="eastAsia"/>
          <w:bCs/>
          <w:szCs w:val="21"/>
        </w:rPr>
        <w:t>4</w:t>
      </w:r>
      <w:r>
        <w:rPr>
          <w:rFonts w:ascii="宋体" w:hAnsi="宋体" w:hint="eastAsia"/>
          <w:bCs/>
          <w:szCs w:val="21"/>
        </w:rPr>
        <w:t>学时）</w:t>
      </w:r>
    </w:p>
    <w:p w:rsidR="00C77352" w:rsidRPr="00C2751F" w:rsidRDefault="00C77352" w:rsidP="004B6E55">
      <w:pPr>
        <w:spacing w:line="500" w:lineRule="exact"/>
        <w:ind w:firstLine="435"/>
        <w:rPr>
          <w:rFonts w:ascii="宋体" w:hAnsi="宋体"/>
          <w:bCs/>
          <w:szCs w:val="21"/>
        </w:rPr>
      </w:pPr>
      <w:r>
        <w:rPr>
          <w:rFonts w:ascii="宋体" w:hAnsi="宋体" w:hint="eastAsia"/>
          <w:bCs/>
          <w:szCs w:val="21"/>
        </w:rPr>
        <w:t xml:space="preserve">4 </w:t>
      </w:r>
      <w:r w:rsidR="004B6E55">
        <w:rPr>
          <w:rFonts w:ascii="宋体" w:hAnsi="宋体" w:hint="eastAsia"/>
          <w:bCs/>
          <w:szCs w:val="21"/>
        </w:rPr>
        <w:t>国际贸易地理分论</w:t>
      </w:r>
      <w:r>
        <w:rPr>
          <w:rFonts w:ascii="宋体" w:hAnsi="宋体" w:hint="eastAsia"/>
          <w:bCs/>
          <w:szCs w:val="21"/>
        </w:rPr>
        <w:t>（</w:t>
      </w:r>
      <w:r w:rsidR="004B6E55">
        <w:rPr>
          <w:rFonts w:ascii="宋体" w:hAnsi="宋体" w:hint="eastAsia"/>
          <w:bCs/>
          <w:szCs w:val="21"/>
        </w:rPr>
        <w:t>4</w:t>
      </w:r>
      <w:r>
        <w:rPr>
          <w:rFonts w:ascii="宋体" w:hAnsi="宋体" w:hint="eastAsia"/>
          <w:bCs/>
          <w:szCs w:val="21"/>
        </w:rPr>
        <w:t>学时）</w:t>
      </w:r>
    </w:p>
    <w:p w:rsidR="00C77352" w:rsidRPr="004B6E55" w:rsidRDefault="00C77352" w:rsidP="00C77352">
      <w:pPr>
        <w:spacing w:line="500" w:lineRule="exact"/>
        <w:rPr>
          <w:rFonts w:ascii="黑体" w:eastAsia="黑体" w:hAnsi="宋体"/>
          <w:bCs/>
          <w:sz w:val="24"/>
        </w:rPr>
      </w:pPr>
      <w:r w:rsidRPr="004B6E55">
        <w:rPr>
          <w:rFonts w:ascii="黑体" w:eastAsia="黑体" w:hAnsi="宋体" w:hint="eastAsia"/>
          <w:bCs/>
          <w:sz w:val="24"/>
        </w:rPr>
        <w:t>五、教学方法及手段（含现代化教学手段及研究性教学方法）</w:t>
      </w:r>
    </w:p>
    <w:p w:rsidR="00C77352" w:rsidRPr="00046459" w:rsidRDefault="00C77352" w:rsidP="00C77352">
      <w:pPr>
        <w:spacing w:line="500" w:lineRule="exact"/>
        <w:ind w:firstLineChars="200" w:firstLine="420"/>
        <w:rPr>
          <w:b/>
          <w:bCs/>
          <w:color w:val="FF0000"/>
        </w:rPr>
      </w:pPr>
      <w:r w:rsidRPr="004B2CF1">
        <w:rPr>
          <w:rFonts w:ascii="宋体" w:hAnsi="宋体" w:hint="eastAsia"/>
          <w:bCs/>
          <w:szCs w:val="21"/>
        </w:rPr>
        <w:t>以多媒体教学为手段，以最新</w:t>
      </w:r>
      <w:r w:rsidR="004B6E55">
        <w:rPr>
          <w:rFonts w:ascii="宋体" w:hAnsi="宋体" w:hint="eastAsia"/>
          <w:bCs/>
          <w:szCs w:val="21"/>
        </w:rPr>
        <w:t>国际贸易热点问题</w:t>
      </w:r>
      <w:r w:rsidRPr="004B2CF1">
        <w:rPr>
          <w:rFonts w:ascii="宋体" w:hAnsi="宋体" w:hint="eastAsia"/>
          <w:bCs/>
          <w:szCs w:val="21"/>
        </w:rPr>
        <w:t>为</w:t>
      </w:r>
      <w:r w:rsidR="004B6E55">
        <w:rPr>
          <w:rFonts w:ascii="宋体" w:hAnsi="宋体" w:hint="eastAsia"/>
          <w:bCs/>
          <w:szCs w:val="21"/>
        </w:rPr>
        <w:t>切入点和案例</w:t>
      </w:r>
      <w:r w:rsidRPr="004B2CF1">
        <w:rPr>
          <w:rFonts w:ascii="宋体" w:hAnsi="宋体" w:hint="eastAsia"/>
          <w:bCs/>
          <w:szCs w:val="21"/>
        </w:rPr>
        <w:t>素材，通过课堂讲授、</w:t>
      </w:r>
      <w:r w:rsidR="004B6E55">
        <w:rPr>
          <w:rFonts w:ascii="宋体" w:hAnsi="宋体" w:hint="eastAsia"/>
          <w:bCs/>
          <w:szCs w:val="21"/>
        </w:rPr>
        <w:lastRenderedPageBreak/>
        <w:t>案例分析及讨论</w:t>
      </w:r>
      <w:r w:rsidRPr="004B2CF1">
        <w:rPr>
          <w:rFonts w:ascii="宋体" w:hAnsi="宋体" w:hint="eastAsia"/>
          <w:bCs/>
          <w:szCs w:val="21"/>
        </w:rPr>
        <w:t>相结合的方式，</w:t>
      </w:r>
      <w:r w:rsidR="00B1192E">
        <w:rPr>
          <w:rFonts w:ascii="宋体" w:hAnsi="宋体" w:hint="eastAsia"/>
          <w:bCs/>
          <w:szCs w:val="21"/>
        </w:rPr>
        <w:t>使</w:t>
      </w:r>
      <w:r w:rsidRPr="004B2CF1">
        <w:rPr>
          <w:rFonts w:ascii="宋体" w:hAnsi="宋体" w:hint="eastAsia"/>
          <w:bCs/>
          <w:szCs w:val="21"/>
        </w:rPr>
        <w:t>学生</w:t>
      </w:r>
      <w:r w:rsidR="00B1192E">
        <w:rPr>
          <w:rFonts w:ascii="宋体" w:hAnsi="宋体" w:hint="eastAsia"/>
          <w:bCs/>
          <w:szCs w:val="21"/>
        </w:rPr>
        <w:t>深入了解和掌握专业知识与技能</w:t>
      </w:r>
      <w:r w:rsidRPr="004B2CF1">
        <w:rPr>
          <w:rFonts w:ascii="宋体" w:hAnsi="宋体" w:hint="eastAsia"/>
          <w:bCs/>
          <w:szCs w:val="21"/>
        </w:rPr>
        <w:t>。</w:t>
      </w:r>
    </w:p>
    <w:p w:rsidR="00C77352" w:rsidRPr="00210A4D" w:rsidRDefault="00C77352" w:rsidP="00C77352">
      <w:pPr>
        <w:spacing w:line="500" w:lineRule="exact"/>
        <w:rPr>
          <w:rFonts w:ascii="黑体" w:eastAsia="黑体" w:hAnsi="宋体"/>
          <w:bCs/>
          <w:sz w:val="24"/>
        </w:rPr>
      </w:pPr>
      <w:r w:rsidRPr="00210A4D">
        <w:rPr>
          <w:rFonts w:ascii="黑体" w:eastAsia="黑体" w:hAnsi="宋体" w:hint="eastAsia"/>
          <w:bCs/>
          <w:sz w:val="24"/>
        </w:rPr>
        <w:t>六、实验</w:t>
      </w:r>
      <w:r>
        <w:rPr>
          <w:rFonts w:ascii="黑体" w:eastAsia="黑体" w:hAnsi="宋体" w:hint="eastAsia"/>
          <w:bCs/>
          <w:sz w:val="24"/>
        </w:rPr>
        <w:t>（或）</w:t>
      </w:r>
      <w:r w:rsidRPr="00210A4D">
        <w:rPr>
          <w:rFonts w:ascii="黑体" w:eastAsia="黑体" w:hAnsi="宋体" w:hint="eastAsia"/>
          <w:bCs/>
          <w:sz w:val="24"/>
        </w:rPr>
        <w:t>上机内容</w:t>
      </w:r>
    </w:p>
    <w:p w:rsidR="00C77352" w:rsidRPr="0085450A" w:rsidRDefault="00C77352" w:rsidP="00C77352">
      <w:pPr>
        <w:spacing w:line="500" w:lineRule="exact"/>
        <w:rPr>
          <w:rFonts w:ascii="宋体" w:hAnsi="宋体"/>
          <w:bCs/>
          <w:szCs w:val="21"/>
        </w:rPr>
      </w:pPr>
      <w:r>
        <w:rPr>
          <w:rFonts w:ascii="宋体" w:hAnsi="宋体" w:hint="eastAsia"/>
          <w:bCs/>
          <w:szCs w:val="21"/>
        </w:rPr>
        <w:t>无</w:t>
      </w:r>
    </w:p>
    <w:p w:rsidR="00C77352" w:rsidRDefault="00C77352" w:rsidP="00C77352">
      <w:pPr>
        <w:spacing w:line="500" w:lineRule="exact"/>
        <w:rPr>
          <w:rFonts w:ascii="黑体" w:eastAsia="黑体" w:hAnsi="宋体"/>
          <w:bCs/>
          <w:sz w:val="24"/>
        </w:rPr>
      </w:pPr>
      <w:r w:rsidRPr="00210A4D">
        <w:rPr>
          <w:rFonts w:ascii="黑体" w:eastAsia="黑体" w:hAnsi="宋体" w:hint="eastAsia"/>
          <w:bCs/>
          <w:sz w:val="24"/>
        </w:rPr>
        <w:t>七、前续课程、后续课程</w:t>
      </w:r>
      <w:r w:rsidRPr="000D53CA">
        <w:rPr>
          <w:rFonts w:ascii="宋体" w:hAnsi="宋体" w:hint="eastAsia"/>
          <w:bCs/>
          <w:sz w:val="24"/>
        </w:rPr>
        <w:t>）</w:t>
      </w:r>
    </w:p>
    <w:p w:rsidR="00C77352" w:rsidRDefault="00C77352" w:rsidP="00C77352">
      <w:pPr>
        <w:spacing w:line="500" w:lineRule="exact"/>
        <w:rPr>
          <w:rFonts w:ascii="宋体" w:hAnsi="宋体"/>
          <w:bCs/>
          <w:szCs w:val="21"/>
        </w:rPr>
      </w:pPr>
      <w:r w:rsidRPr="009D59BA">
        <w:rPr>
          <w:rFonts w:ascii="宋体" w:hAnsi="宋体" w:hint="eastAsia"/>
          <w:bCs/>
          <w:szCs w:val="21"/>
        </w:rPr>
        <w:t>前续课程：微观经济学、宏观经济学、管理学、国际经济学</w:t>
      </w:r>
    </w:p>
    <w:p w:rsidR="00C77352" w:rsidRPr="00210A4D" w:rsidRDefault="00C77352" w:rsidP="00C77352">
      <w:pPr>
        <w:spacing w:line="500" w:lineRule="exact"/>
        <w:rPr>
          <w:rFonts w:ascii="黑体" w:eastAsia="黑体" w:hAnsi="宋体"/>
          <w:bCs/>
          <w:sz w:val="24"/>
        </w:rPr>
      </w:pPr>
      <w:r>
        <w:rPr>
          <w:rFonts w:ascii="宋体" w:hAnsi="宋体" w:hint="eastAsia"/>
          <w:bCs/>
          <w:szCs w:val="21"/>
        </w:rPr>
        <w:t>后续课程：国际商法、国际结算、国际营销、跨国公司管理</w:t>
      </w:r>
      <w:r>
        <w:rPr>
          <w:rFonts w:ascii="黑体" w:eastAsia="黑体" w:hAnsi="宋体" w:hint="eastAsia"/>
          <w:bCs/>
          <w:sz w:val="24"/>
        </w:rPr>
        <w:t xml:space="preserve"> </w:t>
      </w:r>
    </w:p>
    <w:p w:rsidR="00C77352" w:rsidRPr="00210A4D" w:rsidRDefault="00C77352" w:rsidP="00C77352">
      <w:pPr>
        <w:spacing w:line="500" w:lineRule="exact"/>
        <w:rPr>
          <w:rFonts w:ascii="黑体" w:eastAsia="黑体" w:hAnsi="宋体"/>
          <w:bCs/>
          <w:sz w:val="24"/>
        </w:rPr>
      </w:pPr>
      <w:r w:rsidRPr="00210A4D">
        <w:rPr>
          <w:rFonts w:ascii="黑体" w:eastAsia="黑体" w:hAnsi="宋体" w:hint="eastAsia"/>
          <w:bCs/>
          <w:sz w:val="24"/>
        </w:rPr>
        <w:t>八、</w:t>
      </w:r>
      <w:r>
        <w:rPr>
          <w:rFonts w:ascii="黑体" w:eastAsia="黑体" w:hAnsi="宋体" w:hint="eastAsia"/>
          <w:bCs/>
          <w:sz w:val="24"/>
        </w:rPr>
        <w:t>参考</w:t>
      </w:r>
      <w:r w:rsidRPr="00210A4D">
        <w:rPr>
          <w:rFonts w:ascii="黑体" w:eastAsia="黑体" w:hAnsi="宋体" w:hint="eastAsia"/>
          <w:bCs/>
          <w:sz w:val="24"/>
        </w:rPr>
        <w:t>教材及</w:t>
      </w:r>
      <w:r>
        <w:rPr>
          <w:rFonts w:ascii="黑体" w:eastAsia="黑体" w:hAnsi="宋体" w:hint="eastAsia"/>
          <w:bCs/>
          <w:sz w:val="24"/>
        </w:rPr>
        <w:t>学习资源</w:t>
      </w:r>
    </w:p>
    <w:bookmarkStart w:id="0" w:name="__infodetail_pub"/>
    <w:p w:rsidR="00C77352" w:rsidRDefault="001B2692" w:rsidP="00C77352">
      <w:pPr>
        <w:numPr>
          <w:ilvl w:val="0"/>
          <w:numId w:val="1"/>
        </w:numPr>
        <w:spacing w:line="500" w:lineRule="exact"/>
        <w:rPr>
          <w:rFonts w:ascii="宋体" w:hAnsi="宋体"/>
          <w:bCs/>
          <w:szCs w:val="21"/>
        </w:rPr>
      </w:pPr>
      <w:r w:rsidRPr="00460B0C">
        <w:rPr>
          <w:rFonts w:ascii="宋体" w:hAnsi="宋体"/>
          <w:bCs/>
          <w:szCs w:val="21"/>
        </w:rPr>
        <w:fldChar w:fldCharType="begin"/>
      </w:r>
      <w:r w:rsidR="00460B0C" w:rsidRPr="00460B0C">
        <w:rPr>
          <w:rFonts w:ascii="宋体" w:hAnsi="宋体"/>
          <w:bCs/>
          <w:szCs w:val="21"/>
        </w:rPr>
        <w:instrText xml:space="preserve"> HYPERLINK "http://www.dangdang.com/author/%CE%C2%D2%AB%C7%EC_1" \t "_blank" </w:instrText>
      </w:r>
      <w:r w:rsidRPr="00460B0C">
        <w:rPr>
          <w:rFonts w:ascii="宋体" w:hAnsi="宋体"/>
          <w:bCs/>
          <w:szCs w:val="21"/>
        </w:rPr>
        <w:fldChar w:fldCharType="separate"/>
      </w:r>
      <w:proofErr w:type="gramStart"/>
      <w:r w:rsidR="00460B0C" w:rsidRPr="00460B0C">
        <w:rPr>
          <w:rFonts w:ascii="宋体" w:hAnsi="宋体" w:hint="eastAsia"/>
          <w:bCs/>
          <w:szCs w:val="21"/>
        </w:rPr>
        <w:t>温耀庆</w:t>
      </w:r>
      <w:proofErr w:type="gramEnd"/>
      <w:r w:rsidRPr="00460B0C">
        <w:rPr>
          <w:rFonts w:ascii="宋体" w:hAnsi="宋体"/>
          <w:bCs/>
          <w:szCs w:val="21"/>
        </w:rPr>
        <w:fldChar w:fldCharType="end"/>
      </w:r>
      <w:r w:rsidR="00460B0C" w:rsidRPr="00460B0C">
        <w:rPr>
          <w:rFonts w:ascii="宋体" w:hAnsi="宋体" w:hint="eastAsia"/>
          <w:bCs/>
          <w:szCs w:val="21"/>
        </w:rPr>
        <w:t>，</w:t>
      </w:r>
      <w:hyperlink r:id="rId7" w:tgtFrame="_blank" w:history="1">
        <w:proofErr w:type="gramStart"/>
        <w:r w:rsidR="00460B0C" w:rsidRPr="00460B0C">
          <w:rPr>
            <w:rFonts w:ascii="宋体" w:hAnsi="宋体" w:hint="eastAsia"/>
            <w:bCs/>
            <w:szCs w:val="21"/>
          </w:rPr>
          <w:t>鲁丹萍</w:t>
        </w:r>
        <w:proofErr w:type="gramEnd"/>
      </w:hyperlink>
      <w:bookmarkEnd w:id="0"/>
      <w:r w:rsidR="00460B0C" w:rsidRPr="00C25EFA">
        <w:rPr>
          <w:rFonts w:ascii="宋体" w:hAnsi="宋体" w:hint="eastAsia"/>
          <w:bCs/>
          <w:szCs w:val="21"/>
        </w:rPr>
        <w:t>.</w:t>
      </w:r>
      <w:r w:rsidR="00460B0C">
        <w:rPr>
          <w:rFonts w:ascii="宋体" w:hAnsi="宋体" w:hint="eastAsia"/>
          <w:bCs/>
          <w:szCs w:val="21"/>
        </w:rPr>
        <w:t>商检与报关实务（第一版）.清华大学出版社</w:t>
      </w:r>
      <w:r w:rsidR="00460B0C" w:rsidRPr="001E5C8E">
        <w:rPr>
          <w:rFonts w:ascii="宋体" w:hAnsi="宋体" w:hint="eastAsia"/>
          <w:bCs/>
          <w:szCs w:val="21"/>
        </w:rPr>
        <w:t>，20</w:t>
      </w:r>
      <w:r w:rsidR="00460B0C">
        <w:rPr>
          <w:rFonts w:ascii="宋体" w:hAnsi="宋体" w:hint="eastAsia"/>
          <w:bCs/>
          <w:szCs w:val="21"/>
        </w:rPr>
        <w:t>07</w:t>
      </w:r>
    </w:p>
    <w:p w:rsidR="00460B0C" w:rsidRDefault="00460B0C" w:rsidP="00C77352">
      <w:pPr>
        <w:numPr>
          <w:ilvl w:val="0"/>
          <w:numId w:val="1"/>
        </w:numPr>
        <w:spacing w:line="500" w:lineRule="exact"/>
        <w:rPr>
          <w:rFonts w:ascii="宋体" w:hAnsi="宋体"/>
          <w:bCs/>
          <w:szCs w:val="21"/>
        </w:rPr>
      </w:pPr>
      <w:r>
        <w:rPr>
          <w:rFonts w:ascii="宋体" w:hAnsi="宋体" w:hint="eastAsia"/>
          <w:bCs/>
          <w:szCs w:val="21"/>
        </w:rPr>
        <w:t>傅海龙</w:t>
      </w:r>
      <w:r w:rsidRPr="00C25EFA">
        <w:rPr>
          <w:rFonts w:ascii="宋体" w:hAnsi="宋体" w:hint="eastAsia"/>
          <w:bCs/>
          <w:szCs w:val="21"/>
        </w:rPr>
        <w:t>.</w:t>
      </w:r>
      <w:r>
        <w:rPr>
          <w:rFonts w:ascii="宋体" w:hAnsi="宋体" w:hint="eastAsia"/>
          <w:bCs/>
          <w:szCs w:val="21"/>
        </w:rPr>
        <w:t>国际贸易地理（第一版）.</w:t>
      </w:r>
      <w:r w:rsidRPr="001E5C8E">
        <w:rPr>
          <w:rFonts w:ascii="宋体" w:hAnsi="宋体" w:hint="eastAsia"/>
          <w:bCs/>
          <w:szCs w:val="21"/>
        </w:rPr>
        <w:t>对外经贸大学出版社，201</w:t>
      </w:r>
      <w:r>
        <w:rPr>
          <w:rFonts w:ascii="宋体" w:hAnsi="宋体" w:hint="eastAsia"/>
          <w:bCs/>
          <w:szCs w:val="21"/>
        </w:rPr>
        <w:t>3</w:t>
      </w:r>
    </w:p>
    <w:p w:rsidR="00C77352" w:rsidRDefault="00B1192E" w:rsidP="00C77352">
      <w:pPr>
        <w:numPr>
          <w:ilvl w:val="0"/>
          <w:numId w:val="1"/>
        </w:numPr>
        <w:spacing w:line="500" w:lineRule="exact"/>
        <w:rPr>
          <w:rFonts w:ascii="宋体" w:hAnsi="宋体"/>
          <w:bCs/>
          <w:szCs w:val="21"/>
        </w:rPr>
      </w:pPr>
      <w:r>
        <w:rPr>
          <w:rFonts w:ascii="宋体" w:hAnsi="宋体" w:hint="eastAsia"/>
          <w:bCs/>
          <w:szCs w:val="21"/>
        </w:rPr>
        <w:t>于志达</w:t>
      </w:r>
      <w:r w:rsidR="00C77352" w:rsidRPr="001E5C8E">
        <w:rPr>
          <w:rFonts w:ascii="宋体" w:hAnsi="宋体" w:hint="eastAsia"/>
          <w:bCs/>
          <w:szCs w:val="21"/>
        </w:rPr>
        <w:t>.</w:t>
      </w:r>
      <w:r>
        <w:rPr>
          <w:rFonts w:ascii="宋体" w:hAnsi="宋体" w:hint="eastAsia"/>
          <w:bCs/>
          <w:szCs w:val="21"/>
        </w:rPr>
        <w:t>国际贸易地理</w:t>
      </w:r>
      <w:r w:rsidR="00C77352" w:rsidRPr="001E5C8E">
        <w:rPr>
          <w:rFonts w:ascii="宋体" w:hAnsi="宋体" w:hint="eastAsia"/>
          <w:bCs/>
          <w:szCs w:val="21"/>
        </w:rPr>
        <w:t>（第二版）.</w:t>
      </w:r>
      <w:r>
        <w:rPr>
          <w:rFonts w:ascii="宋体" w:hAnsi="宋体" w:hint="eastAsia"/>
          <w:bCs/>
          <w:szCs w:val="21"/>
        </w:rPr>
        <w:t>清华大学出版社</w:t>
      </w:r>
      <w:r w:rsidR="00C77352" w:rsidRPr="001E5C8E">
        <w:rPr>
          <w:rFonts w:ascii="宋体" w:hAnsi="宋体" w:hint="eastAsia"/>
          <w:bCs/>
          <w:szCs w:val="21"/>
        </w:rPr>
        <w:t>，201</w:t>
      </w:r>
      <w:r>
        <w:rPr>
          <w:rFonts w:ascii="宋体" w:hAnsi="宋体" w:hint="eastAsia"/>
          <w:bCs/>
          <w:szCs w:val="21"/>
        </w:rPr>
        <w:t>0</w:t>
      </w:r>
    </w:p>
    <w:p w:rsidR="00C77352" w:rsidRPr="001E5C8E" w:rsidRDefault="00B1192E" w:rsidP="00C77352">
      <w:pPr>
        <w:numPr>
          <w:ilvl w:val="0"/>
          <w:numId w:val="1"/>
        </w:numPr>
        <w:spacing w:line="500" w:lineRule="exact"/>
        <w:rPr>
          <w:rFonts w:ascii="宋体" w:hAnsi="宋体"/>
          <w:bCs/>
          <w:szCs w:val="21"/>
        </w:rPr>
      </w:pPr>
      <w:r>
        <w:rPr>
          <w:rFonts w:ascii="宋体" w:hAnsi="宋体" w:hint="eastAsia"/>
          <w:bCs/>
          <w:szCs w:val="21"/>
        </w:rPr>
        <w:t>赵苏</w:t>
      </w:r>
      <w:r w:rsidR="00C77352">
        <w:rPr>
          <w:rFonts w:ascii="宋体" w:hAnsi="宋体" w:hint="eastAsia"/>
          <w:bCs/>
          <w:szCs w:val="21"/>
        </w:rPr>
        <w:t>，</w:t>
      </w:r>
      <w:r>
        <w:rPr>
          <w:rFonts w:ascii="宋体" w:hAnsi="宋体" w:hint="eastAsia"/>
          <w:bCs/>
          <w:szCs w:val="21"/>
        </w:rPr>
        <w:t>国际贸易地理</w:t>
      </w:r>
      <w:r w:rsidRPr="001E5C8E">
        <w:rPr>
          <w:rFonts w:ascii="宋体" w:hAnsi="宋体" w:hint="eastAsia"/>
          <w:bCs/>
          <w:szCs w:val="21"/>
        </w:rPr>
        <w:t>（第二版）.</w:t>
      </w:r>
      <w:r>
        <w:rPr>
          <w:rFonts w:ascii="宋体" w:hAnsi="宋体" w:hint="eastAsia"/>
          <w:bCs/>
          <w:szCs w:val="21"/>
        </w:rPr>
        <w:t>高等教育出版社</w:t>
      </w:r>
      <w:r w:rsidRPr="001E5C8E">
        <w:rPr>
          <w:rFonts w:ascii="宋体" w:hAnsi="宋体" w:hint="eastAsia"/>
          <w:bCs/>
          <w:szCs w:val="21"/>
        </w:rPr>
        <w:t>，201</w:t>
      </w:r>
      <w:r>
        <w:rPr>
          <w:rFonts w:ascii="宋体" w:hAnsi="宋体" w:hint="eastAsia"/>
          <w:bCs/>
          <w:szCs w:val="21"/>
        </w:rPr>
        <w:t>0</w:t>
      </w:r>
    </w:p>
    <w:p w:rsidR="00C77352" w:rsidRDefault="00C77352" w:rsidP="00415FE3">
      <w:pPr>
        <w:spacing w:line="500" w:lineRule="exact"/>
        <w:rPr>
          <w:rFonts w:ascii="黑体" w:eastAsia="黑体" w:hAnsi="宋体" w:hint="eastAsia"/>
          <w:bCs/>
          <w:sz w:val="24"/>
        </w:rPr>
      </w:pPr>
      <w:r>
        <w:rPr>
          <w:rFonts w:ascii="黑体" w:eastAsia="黑体" w:hAnsi="宋体" w:hint="eastAsia"/>
          <w:bCs/>
          <w:sz w:val="24"/>
        </w:rPr>
        <w:t>九</w:t>
      </w:r>
      <w:r w:rsidRPr="00210A4D">
        <w:rPr>
          <w:rFonts w:ascii="黑体" w:eastAsia="黑体" w:hAnsi="宋体" w:hint="eastAsia"/>
          <w:bCs/>
          <w:sz w:val="24"/>
        </w:rPr>
        <w:t>、</w:t>
      </w:r>
      <w:r>
        <w:rPr>
          <w:rFonts w:ascii="黑体" w:eastAsia="黑体" w:hAnsi="宋体" w:hint="eastAsia"/>
          <w:bCs/>
          <w:sz w:val="24"/>
        </w:rPr>
        <w:t>考核方式</w:t>
      </w:r>
    </w:p>
    <w:tbl>
      <w:tblPr>
        <w:tblW w:w="0" w:type="auto"/>
        <w:jc w:val="center"/>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4"/>
        <w:gridCol w:w="2927"/>
        <w:gridCol w:w="1751"/>
      </w:tblGrid>
      <w:tr w:rsidR="00415FE3" w:rsidRPr="001705F2" w:rsidTr="006A5BB3">
        <w:trPr>
          <w:jc w:val="center"/>
        </w:trPr>
        <w:tc>
          <w:tcPr>
            <w:tcW w:w="3664" w:type="dxa"/>
            <w:shd w:val="clear" w:color="auto" w:fill="auto"/>
          </w:tcPr>
          <w:p w:rsidR="00415FE3" w:rsidRPr="001705F2" w:rsidRDefault="00415FE3" w:rsidP="006A5BB3">
            <w:pPr>
              <w:jc w:val="center"/>
              <w:rPr>
                <w:rFonts w:hint="eastAsia"/>
                <w:b/>
                <w:szCs w:val="21"/>
              </w:rPr>
            </w:pPr>
            <w:r>
              <w:rPr>
                <w:rFonts w:hint="eastAsia"/>
                <w:sz w:val="24"/>
              </w:rPr>
              <w:t xml:space="preserve">    </w:t>
            </w:r>
            <w:r w:rsidRPr="001705F2">
              <w:rPr>
                <w:rFonts w:hint="eastAsia"/>
                <w:b/>
                <w:szCs w:val="21"/>
              </w:rPr>
              <w:t>教学基本要求</w:t>
            </w:r>
            <w:r>
              <w:rPr>
                <w:rFonts w:hint="eastAsia"/>
                <w:b/>
                <w:szCs w:val="21"/>
              </w:rPr>
              <w:t>项</w:t>
            </w:r>
          </w:p>
        </w:tc>
        <w:tc>
          <w:tcPr>
            <w:tcW w:w="2927" w:type="dxa"/>
          </w:tcPr>
          <w:p w:rsidR="00415FE3" w:rsidRPr="001705F2" w:rsidRDefault="00415FE3" w:rsidP="006A5BB3">
            <w:pPr>
              <w:jc w:val="center"/>
              <w:rPr>
                <w:rFonts w:hint="eastAsia"/>
                <w:b/>
                <w:szCs w:val="21"/>
              </w:rPr>
            </w:pPr>
            <w:r w:rsidRPr="001705F2">
              <w:rPr>
                <w:rFonts w:hint="eastAsia"/>
                <w:b/>
                <w:szCs w:val="21"/>
              </w:rPr>
              <w:t>考核形式</w:t>
            </w:r>
          </w:p>
        </w:tc>
        <w:tc>
          <w:tcPr>
            <w:tcW w:w="1751" w:type="dxa"/>
            <w:shd w:val="clear" w:color="auto" w:fill="auto"/>
          </w:tcPr>
          <w:p w:rsidR="00415FE3" w:rsidRPr="001705F2" w:rsidRDefault="00415FE3" w:rsidP="006A5BB3">
            <w:pPr>
              <w:jc w:val="center"/>
              <w:rPr>
                <w:rFonts w:hint="eastAsia"/>
                <w:b/>
                <w:szCs w:val="21"/>
              </w:rPr>
            </w:pPr>
            <w:r>
              <w:rPr>
                <w:rFonts w:hint="eastAsia"/>
                <w:b/>
                <w:szCs w:val="21"/>
              </w:rPr>
              <w:t>占总成绩的比例</w:t>
            </w:r>
          </w:p>
        </w:tc>
      </w:tr>
      <w:tr w:rsidR="00415FE3" w:rsidRPr="001705F2" w:rsidTr="006A5BB3">
        <w:trPr>
          <w:jc w:val="center"/>
        </w:trPr>
        <w:tc>
          <w:tcPr>
            <w:tcW w:w="3664" w:type="dxa"/>
            <w:shd w:val="clear" w:color="auto" w:fill="auto"/>
          </w:tcPr>
          <w:p w:rsidR="00415FE3" w:rsidRPr="001705F2" w:rsidRDefault="00415FE3" w:rsidP="006A5BB3">
            <w:pPr>
              <w:rPr>
                <w:rFonts w:hint="eastAsia"/>
                <w:szCs w:val="21"/>
              </w:rPr>
            </w:pPr>
            <w:r>
              <w:rPr>
                <w:rFonts w:ascii="宋体" w:hAnsi="宋体" w:hint="eastAsia"/>
                <w:bCs/>
                <w:szCs w:val="21"/>
              </w:rPr>
              <w:t>熟悉报关的基本知识与操作实务；熟悉商检的基本知识与报检实务</w:t>
            </w:r>
          </w:p>
        </w:tc>
        <w:tc>
          <w:tcPr>
            <w:tcW w:w="2927" w:type="dxa"/>
          </w:tcPr>
          <w:p w:rsidR="00415FE3" w:rsidRPr="001705F2" w:rsidRDefault="00415FE3" w:rsidP="00415FE3">
            <w:pPr>
              <w:rPr>
                <w:rFonts w:hint="eastAsia"/>
                <w:szCs w:val="21"/>
              </w:rPr>
            </w:pPr>
            <w:r>
              <w:rPr>
                <w:rFonts w:hint="eastAsia"/>
                <w:szCs w:val="21"/>
              </w:rPr>
              <w:t>模拟操作</w:t>
            </w:r>
          </w:p>
        </w:tc>
        <w:tc>
          <w:tcPr>
            <w:tcW w:w="1751" w:type="dxa"/>
            <w:shd w:val="clear" w:color="auto" w:fill="auto"/>
          </w:tcPr>
          <w:p w:rsidR="00415FE3" w:rsidRPr="001705F2" w:rsidRDefault="00415FE3" w:rsidP="006A5BB3">
            <w:pPr>
              <w:rPr>
                <w:rFonts w:hint="eastAsia"/>
                <w:szCs w:val="21"/>
              </w:rPr>
            </w:pPr>
            <w:r>
              <w:rPr>
                <w:rFonts w:hint="eastAsia"/>
                <w:szCs w:val="21"/>
              </w:rPr>
              <w:t>5</w:t>
            </w:r>
            <w:r>
              <w:rPr>
                <w:rFonts w:hint="eastAsia"/>
                <w:szCs w:val="21"/>
              </w:rPr>
              <w:t>0%</w:t>
            </w:r>
          </w:p>
        </w:tc>
      </w:tr>
      <w:tr w:rsidR="00415FE3" w:rsidRPr="001705F2" w:rsidTr="006A5BB3">
        <w:trPr>
          <w:jc w:val="center"/>
        </w:trPr>
        <w:tc>
          <w:tcPr>
            <w:tcW w:w="3664" w:type="dxa"/>
            <w:shd w:val="clear" w:color="auto" w:fill="auto"/>
          </w:tcPr>
          <w:p w:rsidR="00415FE3" w:rsidRPr="001705F2" w:rsidRDefault="00415FE3" w:rsidP="00415FE3">
            <w:pPr>
              <w:rPr>
                <w:rFonts w:hint="eastAsia"/>
                <w:szCs w:val="21"/>
              </w:rPr>
            </w:pPr>
            <w:r>
              <w:rPr>
                <w:rFonts w:ascii="宋体" w:hAnsi="宋体" w:hint="eastAsia"/>
                <w:bCs/>
                <w:szCs w:val="21"/>
              </w:rPr>
              <w:t>了解国际贸易地理的基础理论与</w:t>
            </w:r>
            <w:r>
              <w:rPr>
                <w:rFonts w:ascii="宋体" w:hAnsi="宋体" w:hint="eastAsia"/>
              </w:rPr>
              <w:t>；</w:t>
            </w:r>
            <w:r>
              <w:rPr>
                <w:rFonts w:ascii="宋体" w:hAnsi="宋体" w:hint="eastAsia"/>
              </w:rPr>
              <w:t>熟悉世界各国</w:t>
            </w:r>
            <w:r>
              <w:rPr>
                <w:rFonts w:ascii="宋体" w:hAnsi="宋体" w:hint="eastAsia"/>
                <w:bCs/>
                <w:szCs w:val="21"/>
              </w:rPr>
              <w:t>国际贸易地理状况</w:t>
            </w:r>
          </w:p>
        </w:tc>
        <w:tc>
          <w:tcPr>
            <w:tcW w:w="2927" w:type="dxa"/>
          </w:tcPr>
          <w:p w:rsidR="00415FE3" w:rsidRPr="001705F2" w:rsidRDefault="00415FE3" w:rsidP="006A5BB3">
            <w:pPr>
              <w:rPr>
                <w:rFonts w:hint="eastAsia"/>
                <w:szCs w:val="21"/>
              </w:rPr>
            </w:pPr>
            <w:r>
              <w:rPr>
                <w:rFonts w:hint="eastAsia"/>
                <w:szCs w:val="21"/>
              </w:rPr>
              <w:t>大作业</w:t>
            </w:r>
          </w:p>
        </w:tc>
        <w:tc>
          <w:tcPr>
            <w:tcW w:w="1751" w:type="dxa"/>
            <w:shd w:val="clear" w:color="auto" w:fill="auto"/>
          </w:tcPr>
          <w:p w:rsidR="00415FE3" w:rsidRPr="001705F2" w:rsidRDefault="00415FE3" w:rsidP="006A5BB3">
            <w:pPr>
              <w:rPr>
                <w:rFonts w:hint="eastAsia"/>
                <w:szCs w:val="21"/>
              </w:rPr>
            </w:pPr>
            <w:r>
              <w:rPr>
                <w:rFonts w:hint="eastAsia"/>
                <w:szCs w:val="21"/>
              </w:rPr>
              <w:t>5</w:t>
            </w:r>
            <w:r>
              <w:rPr>
                <w:rFonts w:hint="eastAsia"/>
                <w:szCs w:val="21"/>
              </w:rPr>
              <w:t>0%</w:t>
            </w:r>
          </w:p>
        </w:tc>
      </w:tr>
    </w:tbl>
    <w:p w:rsidR="00415FE3" w:rsidRDefault="00415FE3" w:rsidP="00415FE3">
      <w:pPr>
        <w:spacing w:line="500" w:lineRule="exact"/>
        <w:rPr>
          <w:sz w:val="24"/>
        </w:rPr>
      </w:pPr>
    </w:p>
    <w:p w:rsidR="0036222E" w:rsidRPr="00415FE3" w:rsidRDefault="00C77352" w:rsidP="00C77352">
      <w:pPr>
        <w:spacing w:line="500" w:lineRule="exact"/>
        <w:rPr>
          <w:color w:val="FFFFFF" w:themeColor="background1"/>
          <w:sz w:val="24"/>
        </w:rPr>
      </w:pPr>
      <w:r w:rsidRPr="00415FE3">
        <w:rPr>
          <w:rFonts w:hint="eastAsia"/>
          <w:color w:val="FFFFFF" w:themeColor="background1"/>
          <w:sz w:val="24"/>
        </w:rPr>
        <w:t>撰写人签字：</w:t>
      </w:r>
      <w:r w:rsidRPr="00415FE3">
        <w:rPr>
          <w:rFonts w:hint="eastAsia"/>
          <w:color w:val="FFFFFF" w:themeColor="background1"/>
          <w:sz w:val="24"/>
        </w:rPr>
        <w:t xml:space="preserve">                 </w:t>
      </w:r>
      <w:r w:rsidRPr="00415FE3">
        <w:rPr>
          <w:rFonts w:hint="eastAsia"/>
          <w:color w:val="FFFFFF" w:themeColor="background1"/>
          <w:sz w:val="24"/>
        </w:rPr>
        <w:t>院（系）教学院长（主任）签字：</w:t>
      </w:r>
    </w:p>
    <w:sectPr w:rsidR="0036222E" w:rsidRPr="00415FE3" w:rsidSect="001B269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D18" w:rsidRDefault="00D93D18" w:rsidP="001B2692">
      <w:r>
        <w:separator/>
      </w:r>
    </w:p>
  </w:endnote>
  <w:endnote w:type="continuationSeparator" w:id="0">
    <w:p w:rsidR="00D93D18" w:rsidRDefault="00D93D18" w:rsidP="001B2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247" w:rsidRDefault="001B2692">
    <w:pPr>
      <w:pStyle w:val="a3"/>
      <w:jc w:val="center"/>
    </w:pPr>
    <w:r>
      <w:fldChar w:fldCharType="begin"/>
    </w:r>
    <w:r w:rsidR="00460B0C">
      <w:instrText>PAGE   \* MERGEFORMAT</w:instrText>
    </w:r>
    <w:r>
      <w:fldChar w:fldCharType="separate"/>
    </w:r>
    <w:r w:rsidR="00415FE3" w:rsidRPr="00415FE3">
      <w:rPr>
        <w:noProof/>
        <w:lang w:val="zh-CN"/>
      </w:rPr>
      <w:t>2</w:t>
    </w:r>
    <w:r>
      <w:fldChar w:fldCharType="end"/>
    </w:r>
  </w:p>
  <w:p w:rsidR="00311247" w:rsidRDefault="00D93D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D18" w:rsidRDefault="00D93D18" w:rsidP="001B2692">
      <w:r>
        <w:separator/>
      </w:r>
    </w:p>
  </w:footnote>
  <w:footnote w:type="continuationSeparator" w:id="0">
    <w:p w:rsidR="00D93D18" w:rsidRDefault="00D93D18" w:rsidP="001B2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30B9"/>
    <w:multiLevelType w:val="hybridMultilevel"/>
    <w:tmpl w:val="A6A46548"/>
    <w:lvl w:ilvl="0" w:tplc="7A2E91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B0093F"/>
    <w:multiLevelType w:val="hybridMultilevel"/>
    <w:tmpl w:val="D78E0856"/>
    <w:lvl w:ilvl="0" w:tplc="04381FA2">
      <w:start w:val="1"/>
      <w:numFmt w:val="bullet"/>
      <w:lvlText w:val=""/>
      <w:lvlJc w:val="left"/>
      <w:pPr>
        <w:tabs>
          <w:tab w:val="num" w:pos="720"/>
        </w:tabs>
        <w:ind w:left="720" w:hanging="360"/>
      </w:pPr>
      <w:rPr>
        <w:rFonts w:ascii="Wingdings" w:hAnsi="Wingdings" w:hint="default"/>
      </w:rPr>
    </w:lvl>
    <w:lvl w:ilvl="1" w:tplc="1144A49A" w:tentative="1">
      <w:start w:val="1"/>
      <w:numFmt w:val="bullet"/>
      <w:lvlText w:val=""/>
      <w:lvlJc w:val="left"/>
      <w:pPr>
        <w:tabs>
          <w:tab w:val="num" w:pos="1440"/>
        </w:tabs>
        <w:ind w:left="1440" w:hanging="360"/>
      </w:pPr>
      <w:rPr>
        <w:rFonts w:ascii="Wingdings" w:hAnsi="Wingdings" w:hint="default"/>
      </w:rPr>
    </w:lvl>
    <w:lvl w:ilvl="2" w:tplc="244A6BF0" w:tentative="1">
      <w:start w:val="1"/>
      <w:numFmt w:val="bullet"/>
      <w:lvlText w:val=""/>
      <w:lvlJc w:val="left"/>
      <w:pPr>
        <w:tabs>
          <w:tab w:val="num" w:pos="2160"/>
        </w:tabs>
        <w:ind w:left="2160" w:hanging="360"/>
      </w:pPr>
      <w:rPr>
        <w:rFonts w:ascii="Wingdings" w:hAnsi="Wingdings" w:hint="default"/>
      </w:rPr>
    </w:lvl>
    <w:lvl w:ilvl="3" w:tplc="37D41F62" w:tentative="1">
      <w:start w:val="1"/>
      <w:numFmt w:val="bullet"/>
      <w:lvlText w:val=""/>
      <w:lvlJc w:val="left"/>
      <w:pPr>
        <w:tabs>
          <w:tab w:val="num" w:pos="2880"/>
        </w:tabs>
        <w:ind w:left="2880" w:hanging="360"/>
      </w:pPr>
      <w:rPr>
        <w:rFonts w:ascii="Wingdings" w:hAnsi="Wingdings" w:hint="default"/>
      </w:rPr>
    </w:lvl>
    <w:lvl w:ilvl="4" w:tplc="7C24CFBA" w:tentative="1">
      <w:start w:val="1"/>
      <w:numFmt w:val="bullet"/>
      <w:lvlText w:val=""/>
      <w:lvlJc w:val="left"/>
      <w:pPr>
        <w:tabs>
          <w:tab w:val="num" w:pos="3600"/>
        </w:tabs>
        <w:ind w:left="3600" w:hanging="360"/>
      </w:pPr>
      <w:rPr>
        <w:rFonts w:ascii="Wingdings" w:hAnsi="Wingdings" w:hint="default"/>
      </w:rPr>
    </w:lvl>
    <w:lvl w:ilvl="5" w:tplc="A46656F2" w:tentative="1">
      <w:start w:val="1"/>
      <w:numFmt w:val="bullet"/>
      <w:lvlText w:val=""/>
      <w:lvlJc w:val="left"/>
      <w:pPr>
        <w:tabs>
          <w:tab w:val="num" w:pos="4320"/>
        </w:tabs>
        <w:ind w:left="4320" w:hanging="360"/>
      </w:pPr>
      <w:rPr>
        <w:rFonts w:ascii="Wingdings" w:hAnsi="Wingdings" w:hint="default"/>
      </w:rPr>
    </w:lvl>
    <w:lvl w:ilvl="6" w:tplc="08B67E02" w:tentative="1">
      <w:start w:val="1"/>
      <w:numFmt w:val="bullet"/>
      <w:lvlText w:val=""/>
      <w:lvlJc w:val="left"/>
      <w:pPr>
        <w:tabs>
          <w:tab w:val="num" w:pos="5040"/>
        </w:tabs>
        <w:ind w:left="5040" w:hanging="360"/>
      </w:pPr>
      <w:rPr>
        <w:rFonts w:ascii="Wingdings" w:hAnsi="Wingdings" w:hint="default"/>
      </w:rPr>
    </w:lvl>
    <w:lvl w:ilvl="7" w:tplc="8A30F38C" w:tentative="1">
      <w:start w:val="1"/>
      <w:numFmt w:val="bullet"/>
      <w:lvlText w:val=""/>
      <w:lvlJc w:val="left"/>
      <w:pPr>
        <w:tabs>
          <w:tab w:val="num" w:pos="5760"/>
        </w:tabs>
        <w:ind w:left="5760" w:hanging="360"/>
      </w:pPr>
      <w:rPr>
        <w:rFonts w:ascii="Wingdings" w:hAnsi="Wingdings" w:hint="default"/>
      </w:rPr>
    </w:lvl>
    <w:lvl w:ilvl="8" w:tplc="0BBC9B8E" w:tentative="1">
      <w:start w:val="1"/>
      <w:numFmt w:val="bullet"/>
      <w:lvlText w:val=""/>
      <w:lvlJc w:val="left"/>
      <w:pPr>
        <w:tabs>
          <w:tab w:val="num" w:pos="6480"/>
        </w:tabs>
        <w:ind w:left="6480" w:hanging="360"/>
      </w:pPr>
      <w:rPr>
        <w:rFonts w:ascii="Wingdings" w:hAnsi="Wingdings" w:hint="default"/>
      </w:rPr>
    </w:lvl>
  </w:abstractNum>
  <w:abstractNum w:abstractNumId="2">
    <w:nsid w:val="6D035261"/>
    <w:multiLevelType w:val="hybridMultilevel"/>
    <w:tmpl w:val="C13E105A"/>
    <w:lvl w:ilvl="0" w:tplc="EBC8E408">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7352"/>
    <w:rsid w:val="001B2692"/>
    <w:rsid w:val="0036222E"/>
    <w:rsid w:val="00415FE3"/>
    <w:rsid w:val="00460B0C"/>
    <w:rsid w:val="004B6E55"/>
    <w:rsid w:val="00B1192E"/>
    <w:rsid w:val="00C74252"/>
    <w:rsid w:val="00C77352"/>
    <w:rsid w:val="00D47C7E"/>
    <w:rsid w:val="00D93D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35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77352"/>
    <w:pPr>
      <w:tabs>
        <w:tab w:val="center" w:pos="4153"/>
        <w:tab w:val="right" w:pos="8306"/>
      </w:tabs>
      <w:snapToGrid w:val="0"/>
      <w:jc w:val="left"/>
    </w:pPr>
    <w:rPr>
      <w:sz w:val="18"/>
      <w:szCs w:val="18"/>
    </w:rPr>
  </w:style>
  <w:style w:type="character" w:customStyle="1" w:styleId="Char">
    <w:name w:val="页脚 Char"/>
    <w:basedOn w:val="a0"/>
    <w:link w:val="a3"/>
    <w:uiPriority w:val="99"/>
    <w:rsid w:val="00C77352"/>
    <w:rPr>
      <w:rFonts w:ascii="Times New Roman" w:eastAsia="宋体" w:hAnsi="Times New Roman" w:cs="Times New Roman"/>
      <w:sz w:val="18"/>
      <w:szCs w:val="18"/>
    </w:rPr>
  </w:style>
  <w:style w:type="character" w:styleId="a4">
    <w:name w:val="Hyperlink"/>
    <w:basedOn w:val="a0"/>
    <w:uiPriority w:val="99"/>
    <w:semiHidden/>
    <w:unhideWhenUsed/>
    <w:rsid w:val="00460B0C"/>
    <w:rPr>
      <w:color w:val="0000FF"/>
      <w:u w:val="single"/>
    </w:rPr>
  </w:style>
</w:styles>
</file>

<file path=word/webSettings.xml><?xml version="1.0" encoding="utf-8"?>
<w:webSettings xmlns:r="http://schemas.openxmlformats.org/officeDocument/2006/relationships" xmlns:w="http://schemas.openxmlformats.org/wordprocessingml/2006/main">
  <w:divs>
    <w:div w:id="288097882">
      <w:bodyDiv w:val="1"/>
      <w:marLeft w:val="0"/>
      <w:marRight w:val="0"/>
      <w:marTop w:val="0"/>
      <w:marBottom w:val="0"/>
      <w:divBdr>
        <w:top w:val="none" w:sz="0" w:space="0" w:color="auto"/>
        <w:left w:val="none" w:sz="0" w:space="0" w:color="auto"/>
        <w:bottom w:val="none" w:sz="0" w:space="0" w:color="auto"/>
        <w:right w:val="none" w:sz="0" w:space="0" w:color="auto"/>
      </w:divBdr>
      <w:divsChild>
        <w:div w:id="360319846">
          <w:marLeft w:val="547"/>
          <w:marRight w:val="0"/>
          <w:marTop w:val="154"/>
          <w:marBottom w:val="0"/>
          <w:divBdr>
            <w:top w:val="none" w:sz="0" w:space="0" w:color="auto"/>
            <w:left w:val="none" w:sz="0" w:space="0" w:color="auto"/>
            <w:bottom w:val="none" w:sz="0" w:space="0" w:color="auto"/>
            <w:right w:val="none" w:sz="0" w:space="0" w:color="auto"/>
          </w:divBdr>
        </w:div>
        <w:div w:id="170270441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ngdang.com/author/%C2%B3%B5%A4%C6%BC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3</cp:revision>
  <dcterms:created xsi:type="dcterms:W3CDTF">2014-09-08T17:41:00Z</dcterms:created>
  <dcterms:modified xsi:type="dcterms:W3CDTF">2015-03-06T02:05:00Z</dcterms:modified>
</cp:coreProperties>
</file>